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Century Gothic" w:hAnsi="Century Gothic"/>
          <w:b/>
          <w:b/>
          <w:bCs/>
          <w:color w:val="006699"/>
          <w:sz w:val="12"/>
          <w:szCs w:val="12"/>
        </w:rPr>
      </w:pPr>
      <w:r>
        <w:rPr>
          <w:rFonts w:ascii="Century Gothic" w:hAnsi="Century Gothic"/>
          <w:b/>
          <w:bCs/>
          <w:color w:val="006699"/>
          <w:sz w:val="12"/>
          <w:szCs w:val="12"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  <w:i w:val="false"/>
          <w:iCs w:val="false"/>
          <w:sz w:val="28"/>
          <w:szCs w:val="28"/>
        </w:rPr>
        <w:t xml:space="preserve"> </w:t>
      </w:r>
      <w:r>
        <w:rPr>
          <w:b/>
          <w:bCs/>
          <w:i w:val="false"/>
          <w:iCs w:val="false"/>
          <w:sz w:val="28"/>
          <w:szCs w:val="28"/>
        </w:rPr>
        <w:t>Осторожно, м</w:t>
      </w:r>
      <w:r>
        <w:rPr>
          <w:b/>
          <w:bCs/>
          <w:i w:val="false"/>
          <w:iCs w:val="false"/>
          <w:sz w:val="28"/>
          <w:szCs w:val="28"/>
        </w:rPr>
        <w:t>ошенники!</w:t>
      </w:r>
    </w:p>
    <w:p>
      <w:pPr>
        <w:pStyle w:val="Normal"/>
        <w:jc w:val="center"/>
        <w:rPr>
          <w:i w:val="false"/>
          <w:i w:val="false"/>
          <w:iCs w:val="false"/>
          <w:sz w:val="28"/>
          <w:szCs w:val="28"/>
        </w:rPr>
      </w:pPr>
      <w:r>
        <w:rPr>
          <w:b/>
          <w:bCs/>
        </w:rPr>
      </w:r>
    </w:p>
    <w:p>
      <w:pPr>
        <w:pStyle w:val="Normal"/>
        <w:jc w:val="center"/>
        <w:rPr>
          <w:b w:val="false"/>
          <w:b w:val="false"/>
          <w:bCs w:val="false"/>
          <w:i w:val="false"/>
          <w:i w:val="false"/>
          <w:iCs w:val="false"/>
          <w:sz w:val="12"/>
          <w:szCs w:val="12"/>
        </w:rPr>
      </w:pPr>
      <w:r>
        <w:rPr>
          <w:b w:val="false"/>
          <w:bCs w:val="false"/>
          <w:i w:val="false"/>
          <w:iCs w:val="false"/>
          <w:sz w:val="12"/>
          <w:szCs w:val="12"/>
        </w:rPr>
      </w: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8"/>
          <w:szCs w:val="28"/>
        </w:rPr>
        <w:tab/>
        <w:t>На «горячую линию» Пенсионного фонда регулярно поступает информация от граждан об обращениях к ним неизвестных, пытающихся различными способами узнать данные банковских карт в ходе телефонного разговора.</w:t>
      </w: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8"/>
          <w:szCs w:val="28"/>
        </w:rPr>
        <w:tab/>
        <w:t>Граждан, которым звонят, всегда должен настораживать запрос номеров банковской карты. Не важно, кем представились звонящие, – сотрудником Пенсионного фонда или соцзащиты, любой другой социальной организации, - с момента запроса номеров банковской карты разговор нужно закончить, поняв, что к вам обращаются мошенники.</w:t>
      </w:r>
    </w:p>
    <w:p>
      <w:pPr>
        <w:pStyle w:val="Normal"/>
        <w:jc w:val="both"/>
        <w:rPr/>
      </w:pPr>
      <w:r>
        <w:rPr>
          <w:rStyle w:val="Style13"/>
          <w:b w:val="false"/>
          <w:bCs w:val="false"/>
          <w:i w:val="false"/>
          <w:iCs w:val="false"/>
          <w:sz w:val="28"/>
          <w:szCs w:val="28"/>
        </w:rPr>
        <w:tab/>
        <w:t xml:space="preserve">Пенсионный фонд напоминает, что сотрудники ПФР </w:t>
      </w:r>
      <w:r>
        <w:rPr>
          <w:rStyle w:val="Style14"/>
          <w:b w:val="false"/>
          <w:bCs w:val="false"/>
          <w:i w:val="false"/>
          <w:iCs w:val="false"/>
          <w:sz w:val="28"/>
          <w:szCs w:val="28"/>
        </w:rPr>
        <w:t>не запрашивают по телефону номера банковских карт и персональные данные граждан, не проводят опросы на улице и обходы по домам,  не сообщают по телефону о неожиданных денежных поступлениях.</w:t>
      </w:r>
    </w:p>
    <w:p>
      <w:pPr>
        <w:pStyle w:val="Normal"/>
        <w:jc w:val="both"/>
        <w:rPr/>
      </w:pPr>
      <w:r>
        <w:rPr>
          <w:rStyle w:val="Style14"/>
          <w:b w:val="false"/>
          <w:bCs w:val="false"/>
          <w:i w:val="false"/>
          <w:iCs w:val="false"/>
          <w:sz w:val="28"/>
          <w:szCs w:val="28"/>
        </w:rPr>
        <w:tab/>
      </w:r>
      <w:r>
        <w:rPr>
          <w:b w:val="false"/>
          <w:bCs w:val="false"/>
          <w:i w:val="false"/>
          <w:iCs w:val="false"/>
          <w:sz w:val="28"/>
          <w:szCs w:val="28"/>
        </w:rPr>
        <w:t>Кроме того, информацию, озвученную в телефонном разговоре, всегда можно проверить: открыть сайт ПФР pfr.gov.ru или официальные страницы группы «Пенсионный фонд РФ в Волгоградской области» в социальных сетях (</w:t>
      </w:r>
      <w:r>
        <w:rPr>
          <w:b w:val="false"/>
          <w:bCs w:val="false"/>
          <w:i w:val="false"/>
          <w:iCs w:val="false"/>
          <w:sz w:val="28"/>
          <w:szCs w:val="28"/>
          <w:lang w:val="en-US"/>
        </w:rPr>
        <w:t>Facebook,</w:t>
      </w:r>
      <w:r>
        <w:rPr>
          <w:b w:val="false"/>
          <w:bCs w:val="false"/>
          <w:i w:val="false"/>
          <w:iCs w:val="false"/>
          <w:sz w:val="28"/>
          <w:szCs w:val="28"/>
        </w:rPr>
        <w:t xml:space="preserve"> Одноклассники, 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</w:rPr>
        <w:t>И</w:t>
      </w:r>
      <w:r>
        <w:rPr>
          <w:color w:val="000000"/>
          <w:sz w:val="28"/>
        </w:rPr>
        <w:t>нстаграм, В контакте</w:t>
      </w:r>
      <w:r>
        <w:rPr>
          <w:b w:val="false"/>
          <w:bCs w:val="false"/>
          <w:i w:val="false"/>
          <w:iCs w:val="false"/>
          <w:sz w:val="28"/>
          <w:szCs w:val="28"/>
        </w:rPr>
        <w:t>), позвонить на «горячие линии» Пенсионного фонда, обратиться в клиентскую службу ПФР — и узнать информацию что называется из первых уст, от официальных представителей ведомства.</w:t>
      </w:r>
    </w:p>
    <w:p>
      <w:pPr>
        <w:pStyle w:val="Normal"/>
        <w:jc w:val="both"/>
        <w:rPr/>
      </w:pPr>
      <w:r>
        <w:rPr>
          <w:rFonts w:ascii="Century Gothic" w:hAnsi="Century Gothic"/>
          <w:b w:val="false"/>
          <w:bCs w:val="false"/>
          <w:i w:val="false"/>
          <w:iCs w:val="false"/>
          <w:color w:val="006699"/>
          <w:sz w:val="28"/>
          <w:szCs w:val="28"/>
        </w:rPr>
        <w:tab/>
      </w:r>
      <w:r>
        <w:rPr>
          <w:rFonts w:ascii="Century Gothic" w:hAnsi="Century Gothic"/>
          <w:b/>
          <w:bCs/>
          <w:i w:val="false"/>
          <w:iCs w:val="false"/>
          <w:color w:val="auto"/>
          <w:sz w:val="28"/>
          <w:szCs w:val="28"/>
        </w:rPr>
        <w:t>Призываем граждан быть бдительными и предельно внимательными при запросе от сторонних лиц персональных и паспортных данных, номеров СНИЛС и номеров банковских карт.</w:t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ЦЕНТР ПФР № 1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в Волгоградской области</w:t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center"/>
        <w:rPr>
          <w:rFonts w:ascii="Liberation Serif" w:hAnsi="Liberation Serif" w:eastAsia="Times New Roman" w:cs="Times New Roman"/>
          <w:b/>
          <w:b/>
          <w:bCs/>
          <w:color w:val="006699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6699"/>
          <w:sz w:val="28"/>
          <w:szCs w:val="28"/>
          <w:lang w:eastAsia="ru-RU"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Style13">
    <w:name w:val="Выделение"/>
    <w:rPr>
      <w:i/>
      <w:iCs/>
    </w:rPr>
  </w:style>
  <w:style w:type="character" w:styleId="Style14">
    <w:name w:val="Выделение жирным"/>
    <w:rPr>
      <w:b/>
      <w:b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Application>LibreOffice/4.4.3.2$Windows_x86 LibreOffice_project/88805f81e9fe61362df02b9941de8e38a9b5fd16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2021-08-23T09:20:46Z</dcterms:modified>
  <cp:revision>98</cp:revision>
</cp:coreProperties>
</file>